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ZK1 2014 73 vom 18. August 2014</w:t>
      </w:r>
    </w:p>
    <w:p>
      <w:r>
        <w:t>GR Gerichte, 2014-08-18, IT</w:t>
      </w:r>
    </w:p>
    <w:p>
      <w:r>
        <w:rPr>
          <w:b/>
        </w:rPr>
        <w:t xml:space="preserve">Quelle: </w:t>
      </w:r>
      <w:r>
        <w:t>https://mcp.opencaselaw.ch/entscheid/gr_gerichte_ZK1 2014 73</w:t>
      </w:r>
    </w:p>
    <w:p>
      <w:r>
        <w:t>FR: GR_GERICHTE ZK1 2014 73 du 18 août 2014</w:t>
      </w:r>
    </w:p>
    <w:p>
      <w:r>
        <w:t>IT: GR_GERICHTE ZK1 2014 73 del 18 agosto 2014</w:t>
      </w:r>
    </w:p>
    <w:p>
      <w:pPr>
        <w:pStyle w:val="Heading2"/>
      </w:pPr>
      <w:r>
        <w:t>Regeste</w:t>
      </w:r>
    </w:p>
    <w:p>
      <w:r>
        <w:t>azione creditoria (revisione) | Revision, Erläuterung, Berichtigung eigener Entscheide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Comunicazione 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